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A952B" w14:textId="77777777" w:rsidR="00D12B7B" w:rsidRDefault="001B23A5">
      <w:pPr>
        <w:spacing w:after="60"/>
      </w:pPr>
      <w:r>
        <w:rPr>
          <w:b/>
          <w:bCs/>
          <w:color w:val="595959"/>
          <w:sz w:val="20"/>
          <w:szCs w:val="20"/>
        </w:rPr>
        <w:t xml:space="preserve">YEAR 9 </w:t>
      </w:r>
      <w:proofErr w:type="gramStart"/>
      <w:r>
        <w:rPr>
          <w:b/>
          <w:bCs/>
          <w:color w:val="595959"/>
          <w:sz w:val="20"/>
          <w:szCs w:val="20"/>
        </w:rPr>
        <w:t>ENGLISH  ·</w:t>
      </w:r>
      <w:proofErr w:type="gramEnd"/>
      <w:r>
        <w:rPr>
          <w:b/>
          <w:bCs/>
          <w:color w:val="595959"/>
          <w:sz w:val="20"/>
          <w:szCs w:val="20"/>
        </w:rPr>
        <w:t xml:space="preserve">  ASSESSMENT TASK</w:t>
      </w:r>
    </w:p>
    <w:p w14:paraId="2DBA952C" w14:textId="77777777" w:rsidR="00D12B7B" w:rsidRDefault="001B23A5">
      <w:pPr>
        <w:spacing w:after="60"/>
      </w:pPr>
      <w:r>
        <w:rPr>
          <w:b/>
          <w:bCs/>
          <w:sz w:val="34"/>
          <w:szCs w:val="34"/>
        </w:rPr>
        <w:t>Romeo &amp; Juliet — Analytical Essay on Conflict</w:t>
      </w:r>
    </w:p>
    <w:p>
      <w:pPr>
        <w:spacing w:after="80"/>
      </w:pPr>
      <w:r>
        <w:t xml:space="preserve">Weighting: 20%   ·   Total: 20 marks   ·   Length: 800 words</w:t>
      </w:r>
    </w:p>
    <w:p w14:paraId="2DBA952E" w14:textId="77777777" w:rsidR="00D12B7B" w:rsidRDefault="00D12B7B">
      <w:pPr>
        <w:pBdr>
          <w:bottom w:val="single" w:sz="6" w:space="0" w:color="595959"/>
        </w:pBdr>
        <w:spacing w:after="160"/>
      </w:pPr>
    </w:p>
    <w:p w14:paraId="2DBA952F" w14:textId="77777777" w:rsidR="00D12B7B" w:rsidRDefault="001B23A5">
      <w:pPr>
        <w:spacing w:before="100" w:after="80"/>
      </w:pPr>
      <w:r>
        <w:rPr>
          <w:b/>
          <w:bCs/>
          <w:sz w:val="26"/>
          <w:szCs w:val="26"/>
        </w:rPr>
        <w:t>Task</w:t>
      </w:r>
    </w:p>
    <w:p w14:paraId="2DBA9530" w14:textId="77777777" w:rsidR="00D12B7B" w:rsidRDefault="001B23A5">
      <w:pPr>
        <w:spacing w:after="120"/>
      </w:pPr>
      <w:r>
        <w:t>In an analytical essay of 800 words, discuss how Shakespeare explores the theme of conflict in Romeo &amp; Juliet. You should demonstrate a deep understanding of conflict as both a theme and a structural force across the play, and you should analyse a range of dramatic techniques and explain how each one affects the audience.</w:t>
      </w:r>
    </w:p>
    <w:p w14:paraId="2DBA9531" w14:textId="77777777" w:rsidR="00D12B7B" w:rsidRDefault="001B23A5">
      <w:pPr>
        <w:spacing w:after="120"/>
      </w:pPr>
      <w:r>
        <w:t>Your response must be supported by well-chosen quotes, embedded smoothly into your own sentences rather than dropped in separately, and referenced correctly with act, scene and line. You are expected to use the correct literary and dramatic metalanguage throughout.</w:t>
      </w:r>
    </w:p>
    <w:p w14:paraId="2DBA9532" w14:textId="77777777" w:rsidR="00D12B7B" w:rsidRDefault="001B23A5">
      <w:pPr>
        <w:spacing w:after="120"/>
      </w:pPr>
      <w:r>
        <w:t>Please do NOT simply retell the plot. Marks are awarded for analysis, not for summary. Your essay should be logically organised with a clear introduction, body paragraphs and conclusion, and should sustain a consistent line of argument from beginning to end.</w:t>
      </w:r>
    </w:p>
    <w:p>
      <w:pPr>
        <w:spacing w:after="120"/>
      </w:pPr>
      <w:r>
        <w:t xml:space="preserve">Submit your essay through the class page.</w:t>
      </w:r>
    </w:p>
    <w:p w14:paraId="2DBA9534" w14:textId="77777777" w:rsidR="00D12B7B" w:rsidRDefault="001B23A5">
      <w:pPr>
        <w:spacing w:before="200" w:after="80"/>
      </w:pPr>
      <w:r>
        <w:rPr>
          <w:b/>
          <w:bCs/>
          <w:sz w:val="24"/>
          <w:szCs w:val="24"/>
        </w:rPr>
        <w:t>Before you begin</w:t>
      </w:r>
    </w:p>
    <w:p w14:paraId="2DBA9535" w14:textId="77777777" w:rsidR="00D12B7B" w:rsidRDefault="001B23A5">
      <w:pPr>
        <w:pStyle w:val="ListParagraph"/>
        <w:numPr>
          <w:ilvl w:val="0"/>
          <w:numId w:val="1"/>
        </w:numPr>
        <w:spacing w:after="60"/>
      </w:pPr>
      <w:r>
        <w:t>Re-read the key scenes covered in class, including Act 1 Scene 1, Act 3 Scene 1 and Act 5 Scene 3.</w:t>
      </w:r>
    </w:p>
    <w:p w14:paraId="2DBA9536" w14:textId="77777777" w:rsidR="00D12B7B" w:rsidRDefault="001B23A5">
      <w:pPr>
        <w:pStyle w:val="ListParagraph"/>
        <w:numPr>
          <w:ilvl w:val="0"/>
          <w:numId w:val="1"/>
        </w:numPr>
        <w:spacing w:after="60"/>
      </w:pPr>
      <w:r>
        <w:t>Review your class notes on dramatic techniques.</w:t>
      </w:r>
    </w:p>
    <w:p w14:paraId="2DBA9537" w14:textId="77777777" w:rsidR="00D12B7B" w:rsidRDefault="001B23A5">
      <w:pPr>
        <w:pStyle w:val="ListParagraph"/>
        <w:numPr>
          <w:ilvl w:val="0"/>
          <w:numId w:val="1"/>
        </w:numPr>
        <w:spacing w:after="60"/>
      </w:pPr>
      <w:r>
        <w:t>Consider the different kinds of conflict at work in the play.</w:t>
      </w:r>
    </w:p>
    <w:p w14:paraId="2DBA9538" w14:textId="77777777" w:rsidR="00D12B7B" w:rsidRDefault="001B23A5">
      <w:pPr>
        <w:pStyle w:val="ListParagraph"/>
        <w:numPr>
          <w:ilvl w:val="0"/>
          <w:numId w:val="1"/>
        </w:numPr>
        <w:spacing w:after="60"/>
      </w:pPr>
      <w:r>
        <w:t>Plan before you write. Essays that are planned tend to sustain a stronger argument.</w:t>
      </w:r>
    </w:p>
    <w:p w14:paraId="2DBA9539" w14:textId="77777777" w:rsidR="00D12B7B" w:rsidRDefault="001B23A5">
      <w:pPr>
        <w:spacing w:before="240" w:after="60"/>
      </w:pPr>
      <w:r>
        <w:rPr>
          <w:b/>
          <w:bCs/>
          <w:sz w:val="26"/>
          <w:szCs w:val="26"/>
        </w:rPr>
        <w:t>Marking Rubric</w:t>
      </w:r>
    </w:p>
    <w:p w14:paraId="2DBA953A" w14:textId="77777777" w:rsidR="00D12B7B" w:rsidRDefault="001B23A5">
      <w:pPr>
        <w:spacing w:after="120"/>
      </w:pPr>
      <w:r>
        <w:rPr>
          <w:color w:val="595959"/>
          <w:sz w:val="19"/>
          <w:szCs w:val="19"/>
        </w:rPr>
        <w:t>Each criterion is marked against the standards descriptors below and mapped to Stage 5 outcomes. Holistic, on-balance judgement applies.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826"/>
        <w:gridCol w:w="1440"/>
        <w:gridCol w:w="1440"/>
        <w:gridCol w:w="1440"/>
        <w:gridCol w:w="1440"/>
        <w:gridCol w:w="1440"/>
      </w:tblGrid>
      <w:tr w:rsidR="00D12B7B" w14:paraId="2DBA9541" w14:textId="77777777">
        <w:tblPrEx>
          <w:tblCellMar>
            <w:top w:w="0" w:type="dxa"/>
            <w:bottom w:w="0" w:type="dxa"/>
          </w:tblCellMar>
        </w:tblPrEx>
        <w:trPr>
          <w:tblHeader/>
        </w:trPr>
        <w:tc>
          <w:tcPr>
            <w:tcW w:w="1826" w:type="dxa"/>
            <w:tcBorders>
              <w:top w:val="single" w:sz="4" w:space="0" w:color="595959"/>
              <w:left w:val="single" w:sz="4" w:space="0" w:color="595959"/>
              <w:bottom w:val="single" w:sz="4" w:space="0" w:color="595959"/>
              <w:right w:val="single" w:sz="4" w:space="0" w:color="595959"/>
            </w:tcBorders>
            <w:shd w:val="clear" w:color="auto" w:fill="D9D9D9"/>
            <w:tcMar>
              <w:top w:w="70" w:type="dxa"/>
              <w:left w:w="90" w:type="dxa"/>
              <w:bottom w:w="70" w:type="dxa"/>
              <w:right w:w="90" w:type="dxa"/>
            </w:tcMar>
          </w:tcPr>
          <w:p w14:paraId="2DBA953B" w14:textId="77777777" w:rsidR="00D12B7B" w:rsidRDefault="001B23A5">
            <w:r>
              <w:rPr>
                <w:b/>
                <w:bCs/>
                <w:sz w:val="15"/>
                <w:szCs w:val="15"/>
              </w:rPr>
              <w:t>Criterion (Stage 5 outcomes)</w:t>
            </w:r>
          </w:p>
        </w:tc>
        <w:tc>
          <w:tcPr>
            <w:tcW w:w="1440" w:type="dxa"/>
            <w:tcBorders>
              <w:top w:val="single" w:sz="4" w:space="0" w:color="595959"/>
              <w:left w:val="single" w:sz="4" w:space="0" w:color="595959"/>
              <w:bottom w:val="single" w:sz="4" w:space="0" w:color="595959"/>
              <w:right w:val="single" w:sz="4" w:space="0" w:color="595959"/>
            </w:tcBorders>
            <w:shd w:val="clear" w:color="auto" w:fill="D9D9D9"/>
            <w:tcMar>
              <w:top w:w="70" w:type="dxa"/>
              <w:left w:w="90" w:type="dxa"/>
              <w:bottom w:w="70" w:type="dxa"/>
              <w:right w:w="90" w:type="dxa"/>
            </w:tcMar>
          </w:tcPr>
          <w:p w14:paraId="2DBA953C" w14:textId="77777777" w:rsidR="00D12B7B" w:rsidRDefault="001B23A5">
            <w:r>
              <w:rPr>
                <w:b/>
                <w:bCs/>
                <w:sz w:val="15"/>
                <w:szCs w:val="15"/>
              </w:rPr>
              <w:t>A — Outstanding (17–20)</w:t>
            </w:r>
          </w:p>
        </w:tc>
        <w:tc>
          <w:tcPr>
            <w:tcW w:w="1440" w:type="dxa"/>
            <w:tcBorders>
              <w:top w:val="single" w:sz="4" w:space="0" w:color="595959"/>
              <w:left w:val="single" w:sz="4" w:space="0" w:color="595959"/>
              <w:bottom w:val="single" w:sz="4" w:space="0" w:color="595959"/>
              <w:right w:val="single" w:sz="4" w:space="0" w:color="595959"/>
            </w:tcBorders>
            <w:shd w:val="clear" w:color="auto" w:fill="D9D9D9"/>
            <w:tcMar>
              <w:top w:w="70" w:type="dxa"/>
              <w:left w:w="90" w:type="dxa"/>
              <w:bottom w:w="70" w:type="dxa"/>
              <w:right w:w="90" w:type="dxa"/>
            </w:tcMar>
          </w:tcPr>
          <w:p w14:paraId="2DBA953D" w14:textId="77777777" w:rsidR="00D12B7B" w:rsidRDefault="001B23A5">
            <w:r>
              <w:rPr>
                <w:b/>
                <w:bCs/>
                <w:sz w:val="15"/>
                <w:szCs w:val="15"/>
              </w:rPr>
              <w:t>B — High (13–16)</w:t>
            </w:r>
          </w:p>
        </w:tc>
        <w:tc>
          <w:tcPr>
            <w:tcW w:w="1440" w:type="dxa"/>
            <w:tcBorders>
              <w:top w:val="single" w:sz="4" w:space="0" w:color="595959"/>
              <w:left w:val="single" w:sz="4" w:space="0" w:color="595959"/>
              <w:bottom w:val="single" w:sz="4" w:space="0" w:color="595959"/>
              <w:right w:val="single" w:sz="4" w:space="0" w:color="595959"/>
            </w:tcBorders>
            <w:shd w:val="clear" w:color="auto" w:fill="D9D9D9"/>
            <w:tcMar>
              <w:top w:w="70" w:type="dxa"/>
              <w:left w:w="90" w:type="dxa"/>
              <w:bottom w:w="70" w:type="dxa"/>
              <w:right w:w="90" w:type="dxa"/>
            </w:tcMar>
          </w:tcPr>
          <w:p w14:paraId="2DBA953E" w14:textId="77777777" w:rsidR="00D12B7B" w:rsidRDefault="001B23A5">
            <w:r>
              <w:rPr>
                <w:b/>
                <w:bCs/>
                <w:sz w:val="15"/>
                <w:szCs w:val="15"/>
              </w:rPr>
              <w:t>C — Sound (9–12)</w:t>
            </w:r>
          </w:p>
        </w:tc>
        <w:tc>
          <w:tcPr>
            <w:tcW w:w="1440" w:type="dxa"/>
            <w:tcBorders>
              <w:top w:val="single" w:sz="4" w:space="0" w:color="595959"/>
              <w:left w:val="single" w:sz="4" w:space="0" w:color="595959"/>
              <w:bottom w:val="single" w:sz="4" w:space="0" w:color="595959"/>
              <w:right w:val="single" w:sz="4" w:space="0" w:color="595959"/>
            </w:tcBorders>
            <w:shd w:val="clear" w:color="auto" w:fill="D9D9D9"/>
            <w:tcMar>
              <w:top w:w="70" w:type="dxa"/>
              <w:left w:w="90" w:type="dxa"/>
              <w:bottom w:w="70" w:type="dxa"/>
              <w:right w:w="90" w:type="dxa"/>
            </w:tcMar>
          </w:tcPr>
          <w:p w14:paraId="2DBA953F" w14:textId="77777777" w:rsidR="00D12B7B" w:rsidRDefault="001B23A5">
            <w:r>
              <w:rPr>
                <w:b/>
                <w:bCs/>
                <w:sz w:val="15"/>
                <w:szCs w:val="15"/>
              </w:rPr>
              <w:t>D — Basic (5–8)</w:t>
            </w:r>
          </w:p>
        </w:tc>
        <w:tc>
          <w:tcPr>
            <w:tcW w:w="1440" w:type="dxa"/>
            <w:tcBorders>
              <w:top w:val="single" w:sz="4" w:space="0" w:color="595959"/>
              <w:left w:val="single" w:sz="4" w:space="0" w:color="595959"/>
              <w:bottom w:val="single" w:sz="4" w:space="0" w:color="595959"/>
              <w:right w:val="single" w:sz="4" w:space="0" w:color="595959"/>
            </w:tcBorders>
            <w:shd w:val="clear" w:color="auto" w:fill="D9D9D9"/>
            <w:tcMar>
              <w:top w:w="70" w:type="dxa"/>
              <w:left w:w="90" w:type="dxa"/>
              <w:bottom w:w="70" w:type="dxa"/>
              <w:right w:w="90" w:type="dxa"/>
            </w:tcMar>
          </w:tcPr>
          <w:p w14:paraId="2DBA9540" w14:textId="77777777" w:rsidR="00D12B7B" w:rsidRDefault="001B23A5">
            <w:r>
              <w:rPr>
                <w:b/>
                <w:bCs/>
                <w:sz w:val="15"/>
                <w:szCs w:val="15"/>
              </w:rPr>
              <w:t>E — Limited (1–4)</w:t>
            </w:r>
          </w:p>
        </w:tc>
      </w:tr>
      <w:tr w:rsidR="00D12B7B" w14:paraId="2DBA9549" w14:textId="77777777">
        <w:tblPrEx>
          <w:tblCellMar>
            <w:top w:w="0" w:type="dxa"/>
            <w:bottom w:w="0" w:type="dxa"/>
          </w:tblCellMar>
        </w:tblPrEx>
        <w:trPr>
          <w:cantSplit/>
        </w:trPr>
        <w:tc>
          <w:tcPr>
            <w:tcW w:w="1826" w:type="dxa"/>
            <w:tcBorders>
              <w:top w:val="single" w:sz="4" w:space="0" w:color="595959"/>
              <w:left w:val="single" w:sz="4" w:space="0" w:color="595959"/>
              <w:bottom w:val="single" w:sz="4" w:space="0" w:color="595959"/>
              <w:right w:val="single" w:sz="4" w:space="0" w:color="595959"/>
            </w:tcBorders>
            <w:shd w:val="clear" w:color="auto" w:fill="F2F2F2"/>
            <w:tcMar>
              <w:top w:w="70" w:type="dxa"/>
              <w:left w:w="90" w:type="dxa"/>
              <w:bottom w:w="70" w:type="dxa"/>
              <w:right w:w="90" w:type="dxa"/>
            </w:tcMar>
          </w:tcPr>
          <w:p w14:paraId="2DBA9542" w14:textId="77777777" w:rsidR="00D12B7B" w:rsidRDefault="001B23A5">
            <w:r>
              <w:rPr>
                <w:b/>
                <w:bCs/>
                <w:sz w:val="15"/>
                <w:szCs w:val="15"/>
              </w:rPr>
              <w:t>Conceptual understanding of conflict</w:t>
            </w:r>
          </w:p>
          <w:p w14:paraId="2DBA9543" w14:textId="77777777" w:rsidR="00D12B7B" w:rsidRDefault="001B23A5">
            <w:r>
              <w:rPr>
                <w:b/>
                <w:bCs/>
                <w:i/>
                <w:iCs/>
                <w:sz w:val="15"/>
                <w:szCs w:val="15"/>
              </w:rPr>
              <w:t>(EN5-1A, EN5-7D)</w:t>
            </w:r>
          </w:p>
        </w:tc>
        <w:tc>
          <w:tcPr>
            <w:tcW w:w="1440" w:type="dxa"/>
            <w:tcBorders>
              <w:top w:val="single" w:sz="4" w:space="0" w:color="595959"/>
              <w:left w:val="single" w:sz="4" w:space="0" w:color="595959"/>
              <w:bottom w:val="single" w:sz="4" w:space="0" w:color="595959"/>
              <w:right w:val="single" w:sz="4" w:space="0" w:color="595959"/>
            </w:tcBorders>
            <w:shd w:val="clear" w:color="auto" w:fill="FFFFFF"/>
            <w:tcMar>
              <w:top w:w="70" w:type="dxa"/>
              <w:left w:w="90" w:type="dxa"/>
              <w:bottom w:w="70" w:type="dxa"/>
              <w:right w:w="90" w:type="dxa"/>
            </w:tcMar>
          </w:tcPr>
          <w:p w14:paraId="2DBA9544" w14:textId="77777777" w:rsidR="00D12B7B" w:rsidRDefault="001B23A5">
            <w:r>
              <w:rPr>
                <w:sz w:val="15"/>
                <w:szCs w:val="15"/>
              </w:rPr>
              <w:t>Demonstrates a perceptive, nuanced conceptual understanding of how conflict operates thematically and structurally across the play</w:t>
            </w:r>
          </w:p>
        </w:tc>
        <w:tc>
          <w:tcPr>
            <w:tcW w:w="1440" w:type="dxa"/>
            <w:tcBorders>
              <w:top w:val="single" w:sz="4" w:space="0" w:color="595959"/>
              <w:left w:val="single" w:sz="4" w:space="0" w:color="595959"/>
              <w:bottom w:val="single" w:sz="4" w:space="0" w:color="595959"/>
              <w:right w:val="single" w:sz="4" w:space="0" w:color="595959"/>
            </w:tcBorders>
            <w:shd w:val="clear" w:color="auto" w:fill="FFFFFF"/>
            <w:tcMar>
              <w:top w:w="70" w:type="dxa"/>
              <w:left w:w="90" w:type="dxa"/>
              <w:bottom w:w="70" w:type="dxa"/>
              <w:right w:w="90" w:type="dxa"/>
            </w:tcMar>
          </w:tcPr>
          <w:p w14:paraId="2DBA9545" w14:textId="77777777" w:rsidR="00D12B7B" w:rsidRDefault="001B23A5">
            <w:r>
              <w:rPr>
                <w:sz w:val="15"/>
                <w:szCs w:val="15"/>
              </w:rPr>
              <w:t>Demonstrates a thorough and sustained understanding of conflict as a unifying thematic concern</w:t>
            </w:r>
          </w:p>
        </w:tc>
        <w:tc>
          <w:tcPr>
            <w:tcW w:w="1440" w:type="dxa"/>
            <w:tcBorders>
              <w:top w:val="single" w:sz="4" w:space="0" w:color="595959"/>
              <w:left w:val="single" w:sz="4" w:space="0" w:color="595959"/>
              <w:bottom w:val="single" w:sz="4" w:space="0" w:color="595959"/>
              <w:right w:val="single" w:sz="4" w:space="0" w:color="595959"/>
            </w:tcBorders>
            <w:shd w:val="clear" w:color="auto" w:fill="FFFFFF"/>
            <w:tcMar>
              <w:top w:w="70" w:type="dxa"/>
              <w:left w:w="90" w:type="dxa"/>
              <w:bottom w:w="70" w:type="dxa"/>
              <w:right w:w="90" w:type="dxa"/>
            </w:tcMar>
          </w:tcPr>
          <w:p w14:paraId="2DBA9546" w14:textId="77777777" w:rsidR="00D12B7B" w:rsidRDefault="001B23A5">
            <w:r>
              <w:rPr>
                <w:sz w:val="15"/>
                <w:szCs w:val="15"/>
              </w:rPr>
              <w:t>Demonstrates a sound understanding of conflict, predominantly at the level of narrative</w:t>
            </w:r>
          </w:p>
        </w:tc>
        <w:tc>
          <w:tcPr>
            <w:tcW w:w="1440" w:type="dxa"/>
            <w:tcBorders>
              <w:top w:val="single" w:sz="4" w:space="0" w:color="595959"/>
              <w:left w:val="single" w:sz="4" w:space="0" w:color="595959"/>
              <w:bottom w:val="single" w:sz="4" w:space="0" w:color="595959"/>
              <w:right w:val="single" w:sz="4" w:space="0" w:color="595959"/>
            </w:tcBorders>
            <w:shd w:val="clear" w:color="auto" w:fill="FFFFFF"/>
            <w:tcMar>
              <w:top w:w="70" w:type="dxa"/>
              <w:left w:w="90" w:type="dxa"/>
              <w:bottom w:w="70" w:type="dxa"/>
              <w:right w:w="90" w:type="dxa"/>
            </w:tcMar>
          </w:tcPr>
          <w:p w14:paraId="2DBA9547" w14:textId="77777777" w:rsidR="00D12B7B" w:rsidRDefault="001B23A5">
            <w:r>
              <w:rPr>
                <w:sz w:val="15"/>
                <w:szCs w:val="15"/>
              </w:rPr>
              <w:t>Demonstrates a basic, literal understanding of conflict</w:t>
            </w:r>
          </w:p>
        </w:tc>
        <w:tc>
          <w:tcPr>
            <w:tcW w:w="1440" w:type="dxa"/>
            <w:tcBorders>
              <w:top w:val="single" w:sz="4" w:space="0" w:color="595959"/>
              <w:left w:val="single" w:sz="4" w:space="0" w:color="595959"/>
              <w:bottom w:val="single" w:sz="4" w:space="0" w:color="595959"/>
              <w:right w:val="single" w:sz="4" w:space="0" w:color="595959"/>
            </w:tcBorders>
            <w:shd w:val="clear" w:color="auto" w:fill="FFFFFF"/>
            <w:tcMar>
              <w:top w:w="70" w:type="dxa"/>
              <w:left w:w="90" w:type="dxa"/>
              <w:bottom w:w="70" w:type="dxa"/>
              <w:right w:w="90" w:type="dxa"/>
            </w:tcMar>
          </w:tcPr>
          <w:p w14:paraId="2DBA9548" w14:textId="77777777" w:rsidR="00D12B7B" w:rsidRDefault="001B23A5">
            <w:r>
              <w:rPr>
                <w:sz w:val="15"/>
                <w:szCs w:val="15"/>
              </w:rPr>
              <w:t>Demonstrates an elementary or fragmented understanding</w:t>
            </w:r>
          </w:p>
        </w:tc>
      </w:tr>
      <w:tr w:rsidR="00D12B7B" w14:paraId="2DBA9551" w14:textId="77777777">
        <w:tblPrEx>
          <w:tblCellMar>
            <w:top w:w="0" w:type="dxa"/>
            <w:bottom w:w="0" w:type="dxa"/>
          </w:tblCellMar>
        </w:tblPrEx>
        <w:trPr>
          <w:cantSplit/>
        </w:trPr>
        <w:tc>
          <w:tcPr>
            <w:tcW w:w="1826" w:type="dxa"/>
            <w:tcBorders>
              <w:top w:val="single" w:sz="4" w:space="0" w:color="595959"/>
              <w:left w:val="single" w:sz="4" w:space="0" w:color="595959"/>
              <w:bottom w:val="single" w:sz="4" w:space="0" w:color="595959"/>
              <w:right w:val="single" w:sz="4" w:space="0" w:color="595959"/>
            </w:tcBorders>
            <w:shd w:val="clear" w:color="auto" w:fill="F2F2F2"/>
            <w:tcMar>
              <w:top w:w="70" w:type="dxa"/>
              <w:left w:w="90" w:type="dxa"/>
              <w:bottom w:w="70" w:type="dxa"/>
              <w:right w:w="90" w:type="dxa"/>
            </w:tcMar>
          </w:tcPr>
          <w:p w14:paraId="2DBA954A" w14:textId="77777777" w:rsidR="00D12B7B" w:rsidRDefault="001B23A5">
            <w:r>
              <w:rPr>
                <w:b/>
                <w:bCs/>
                <w:sz w:val="15"/>
                <w:szCs w:val="15"/>
              </w:rPr>
              <w:t>Analysis of dramatic techniques &amp; their effects on the audience</w:t>
            </w:r>
          </w:p>
          <w:p w14:paraId="2DBA954B" w14:textId="77777777" w:rsidR="00D12B7B" w:rsidRDefault="001B23A5">
            <w:r>
              <w:rPr>
                <w:b/>
                <w:bCs/>
                <w:i/>
                <w:iCs/>
                <w:sz w:val="15"/>
                <w:szCs w:val="15"/>
              </w:rPr>
              <w:t>(EN5-3B)</w:t>
            </w:r>
          </w:p>
        </w:tc>
        <w:tc>
          <w:tcPr>
            <w:tcW w:w="1440" w:type="dxa"/>
            <w:tcBorders>
              <w:top w:val="single" w:sz="4" w:space="0" w:color="595959"/>
              <w:left w:val="single" w:sz="4" w:space="0" w:color="595959"/>
              <w:bottom w:val="single" w:sz="4" w:space="0" w:color="595959"/>
              <w:right w:val="single" w:sz="4" w:space="0" w:color="595959"/>
            </w:tcBorders>
            <w:shd w:val="clear" w:color="auto" w:fill="FFFFFF"/>
            <w:tcMar>
              <w:top w:w="70" w:type="dxa"/>
              <w:left w:w="90" w:type="dxa"/>
              <w:bottom w:w="70" w:type="dxa"/>
              <w:right w:w="90" w:type="dxa"/>
            </w:tcMar>
          </w:tcPr>
          <w:p w14:paraId="2DBA954C" w14:textId="77777777" w:rsidR="00D12B7B" w:rsidRDefault="001B23A5">
            <w:r>
              <w:rPr>
                <w:sz w:val="15"/>
                <w:szCs w:val="15"/>
              </w:rPr>
              <w:t>Perceptively analyses the composer’s judicious deployment of a discerning range of dramatic techniques and their calculated effects on the responder</w:t>
            </w:r>
          </w:p>
        </w:tc>
        <w:tc>
          <w:tcPr>
            <w:tcW w:w="1440" w:type="dxa"/>
            <w:tcBorders>
              <w:top w:val="single" w:sz="4" w:space="0" w:color="595959"/>
              <w:left w:val="single" w:sz="4" w:space="0" w:color="595959"/>
              <w:bottom w:val="single" w:sz="4" w:space="0" w:color="595959"/>
              <w:right w:val="single" w:sz="4" w:space="0" w:color="595959"/>
            </w:tcBorders>
            <w:shd w:val="clear" w:color="auto" w:fill="FFFFFF"/>
            <w:tcMar>
              <w:top w:w="70" w:type="dxa"/>
              <w:left w:w="90" w:type="dxa"/>
              <w:bottom w:w="70" w:type="dxa"/>
              <w:right w:w="90" w:type="dxa"/>
            </w:tcMar>
          </w:tcPr>
          <w:p w14:paraId="2DBA954D" w14:textId="77777777" w:rsidR="00D12B7B" w:rsidRDefault="001B23A5">
            <w:r>
              <w:rPr>
                <w:sz w:val="15"/>
                <w:szCs w:val="15"/>
              </w:rPr>
              <w:t>Effectively analyses several techniques and their intended effects</w:t>
            </w:r>
          </w:p>
        </w:tc>
        <w:tc>
          <w:tcPr>
            <w:tcW w:w="1440" w:type="dxa"/>
            <w:tcBorders>
              <w:top w:val="single" w:sz="4" w:space="0" w:color="595959"/>
              <w:left w:val="single" w:sz="4" w:space="0" w:color="595959"/>
              <w:bottom w:val="single" w:sz="4" w:space="0" w:color="595959"/>
              <w:right w:val="single" w:sz="4" w:space="0" w:color="595959"/>
            </w:tcBorders>
            <w:shd w:val="clear" w:color="auto" w:fill="FFFFFF"/>
            <w:tcMar>
              <w:top w:w="70" w:type="dxa"/>
              <w:left w:w="90" w:type="dxa"/>
              <w:bottom w:w="70" w:type="dxa"/>
              <w:right w:w="90" w:type="dxa"/>
            </w:tcMar>
          </w:tcPr>
          <w:p w14:paraId="2DBA954E" w14:textId="77777777" w:rsidR="00D12B7B" w:rsidRDefault="001B23A5">
            <w:r>
              <w:rPr>
                <w:sz w:val="15"/>
                <w:szCs w:val="15"/>
              </w:rPr>
              <w:t>Describes some techniques with generalised comment on effect</w:t>
            </w:r>
          </w:p>
        </w:tc>
        <w:tc>
          <w:tcPr>
            <w:tcW w:w="1440" w:type="dxa"/>
            <w:tcBorders>
              <w:top w:val="single" w:sz="4" w:space="0" w:color="595959"/>
              <w:left w:val="single" w:sz="4" w:space="0" w:color="595959"/>
              <w:bottom w:val="single" w:sz="4" w:space="0" w:color="595959"/>
              <w:right w:val="single" w:sz="4" w:space="0" w:color="595959"/>
            </w:tcBorders>
            <w:shd w:val="clear" w:color="auto" w:fill="FFFFFF"/>
            <w:tcMar>
              <w:top w:w="70" w:type="dxa"/>
              <w:left w:w="90" w:type="dxa"/>
              <w:bottom w:w="70" w:type="dxa"/>
              <w:right w:w="90" w:type="dxa"/>
            </w:tcMar>
          </w:tcPr>
          <w:p w14:paraId="2DBA954F" w14:textId="77777777" w:rsidR="00D12B7B" w:rsidRDefault="001B23A5">
            <w:r>
              <w:rPr>
                <w:sz w:val="15"/>
                <w:szCs w:val="15"/>
              </w:rPr>
              <w:t>Identifies techniques with minimal or no analysis of effect</w:t>
            </w:r>
          </w:p>
        </w:tc>
        <w:tc>
          <w:tcPr>
            <w:tcW w:w="1440" w:type="dxa"/>
            <w:tcBorders>
              <w:top w:val="single" w:sz="4" w:space="0" w:color="595959"/>
              <w:left w:val="single" w:sz="4" w:space="0" w:color="595959"/>
              <w:bottom w:val="single" w:sz="4" w:space="0" w:color="595959"/>
              <w:right w:val="single" w:sz="4" w:space="0" w:color="595959"/>
            </w:tcBorders>
            <w:shd w:val="clear" w:color="auto" w:fill="FFFFFF"/>
            <w:tcMar>
              <w:top w:w="70" w:type="dxa"/>
              <w:left w:w="90" w:type="dxa"/>
              <w:bottom w:w="70" w:type="dxa"/>
              <w:right w:w="90" w:type="dxa"/>
            </w:tcMar>
          </w:tcPr>
          <w:p w14:paraId="2DBA9550" w14:textId="77777777" w:rsidR="00D12B7B" w:rsidRDefault="001B23A5">
            <w:r>
              <w:rPr>
                <w:sz w:val="15"/>
                <w:szCs w:val="15"/>
              </w:rPr>
              <w:t>Makes only superficial reference to techniques</w:t>
            </w:r>
          </w:p>
        </w:tc>
      </w:tr>
      <w:tr w:rsidR="00D12B7B" w14:paraId="2DBA9559" w14:textId="77777777">
        <w:tblPrEx>
          <w:tblCellMar>
            <w:top w:w="0" w:type="dxa"/>
            <w:bottom w:w="0" w:type="dxa"/>
          </w:tblCellMar>
        </w:tblPrEx>
        <w:trPr>
          <w:cantSplit/>
        </w:trPr>
        <w:tc>
          <w:tcPr>
            <w:tcW w:w="1826" w:type="dxa"/>
            <w:tcBorders>
              <w:top w:val="single" w:sz="4" w:space="0" w:color="595959"/>
              <w:left w:val="single" w:sz="4" w:space="0" w:color="595959"/>
              <w:bottom w:val="single" w:sz="4" w:space="0" w:color="595959"/>
              <w:right w:val="single" w:sz="4" w:space="0" w:color="595959"/>
            </w:tcBorders>
            <w:shd w:val="clear" w:color="auto" w:fill="F2F2F2"/>
            <w:tcMar>
              <w:top w:w="70" w:type="dxa"/>
              <w:left w:w="90" w:type="dxa"/>
              <w:bottom w:w="70" w:type="dxa"/>
              <w:right w:w="90" w:type="dxa"/>
            </w:tcMar>
          </w:tcPr>
          <w:p w14:paraId="2DBA9552" w14:textId="77777777" w:rsidR="00D12B7B" w:rsidRDefault="001B23A5">
            <w:r>
              <w:rPr>
                <w:b/>
                <w:bCs/>
                <w:sz w:val="15"/>
                <w:szCs w:val="15"/>
              </w:rPr>
              <w:t>Selection, integration &amp; referencing of textual evidence</w:t>
            </w:r>
          </w:p>
          <w:p w14:paraId="2DBA9553" w14:textId="77777777" w:rsidR="00D12B7B" w:rsidRDefault="001B23A5">
            <w:r>
              <w:rPr>
                <w:b/>
                <w:bCs/>
                <w:i/>
                <w:iCs/>
                <w:sz w:val="15"/>
                <w:szCs w:val="15"/>
              </w:rPr>
              <w:t>(EN5-2A)</w:t>
            </w:r>
          </w:p>
        </w:tc>
        <w:tc>
          <w:tcPr>
            <w:tcW w:w="1440" w:type="dxa"/>
            <w:tcBorders>
              <w:top w:val="single" w:sz="4" w:space="0" w:color="595959"/>
              <w:left w:val="single" w:sz="4" w:space="0" w:color="595959"/>
              <w:bottom w:val="single" w:sz="4" w:space="0" w:color="595959"/>
              <w:right w:val="single" w:sz="4" w:space="0" w:color="595959"/>
            </w:tcBorders>
            <w:shd w:val="clear" w:color="auto" w:fill="FFFFFF"/>
            <w:tcMar>
              <w:top w:w="70" w:type="dxa"/>
              <w:left w:w="90" w:type="dxa"/>
              <w:bottom w:w="70" w:type="dxa"/>
              <w:right w:w="90" w:type="dxa"/>
            </w:tcMar>
          </w:tcPr>
          <w:p w14:paraId="2DBA9554" w14:textId="77777777" w:rsidR="00D12B7B" w:rsidRDefault="001B23A5">
            <w:r>
              <w:rPr>
                <w:sz w:val="15"/>
                <w:szCs w:val="15"/>
              </w:rPr>
              <w:t>Judiciously integrates apposite, embedded and accurately referenced textual evidence to substantiate a sustained argument</w:t>
            </w:r>
          </w:p>
        </w:tc>
        <w:tc>
          <w:tcPr>
            <w:tcW w:w="1440" w:type="dxa"/>
            <w:tcBorders>
              <w:top w:val="single" w:sz="4" w:space="0" w:color="595959"/>
              <w:left w:val="single" w:sz="4" w:space="0" w:color="595959"/>
              <w:bottom w:val="single" w:sz="4" w:space="0" w:color="595959"/>
              <w:right w:val="single" w:sz="4" w:space="0" w:color="595959"/>
            </w:tcBorders>
            <w:shd w:val="clear" w:color="auto" w:fill="FFFFFF"/>
            <w:tcMar>
              <w:top w:w="70" w:type="dxa"/>
              <w:left w:w="90" w:type="dxa"/>
              <w:bottom w:w="70" w:type="dxa"/>
              <w:right w:w="90" w:type="dxa"/>
            </w:tcMar>
          </w:tcPr>
          <w:p w14:paraId="2DBA9555" w14:textId="77777777" w:rsidR="00D12B7B" w:rsidRDefault="001B23A5">
            <w:r>
              <w:rPr>
                <w:sz w:val="15"/>
                <w:szCs w:val="15"/>
              </w:rPr>
              <w:t>Integrates well-chosen evidence to support the argument</w:t>
            </w:r>
          </w:p>
        </w:tc>
        <w:tc>
          <w:tcPr>
            <w:tcW w:w="1440" w:type="dxa"/>
            <w:tcBorders>
              <w:top w:val="single" w:sz="4" w:space="0" w:color="595959"/>
              <w:left w:val="single" w:sz="4" w:space="0" w:color="595959"/>
              <w:bottom w:val="single" w:sz="4" w:space="0" w:color="595959"/>
              <w:right w:val="single" w:sz="4" w:space="0" w:color="595959"/>
            </w:tcBorders>
            <w:shd w:val="clear" w:color="auto" w:fill="FFFFFF"/>
            <w:tcMar>
              <w:top w:w="70" w:type="dxa"/>
              <w:left w:w="90" w:type="dxa"/>
              <w:bottom w:w="70" w:type="dxa"/>
              <w:right w:w="90" w:type="dxa"/>
            </w:tcMar>
          </w:tcPr>
          <w:p w14:paraId="2DBA9556" w14:textId="77777777" w:rsidR="00D12B7B" w:rsidRDefault="001B23A5">
            <w:r>
              <w:rPr>
                <w:sz w:val="15"/>
                <w:szCs w:val="15"/>
              </w:rPr>
              <w:t>Uses some relevant evidence, at times appended rather than embedded</w:t>
            </w:r>
          </w:p>
        </w:tc>
        <w:tc>
          <w:tcPr>
            <w:tcW w:w="1440" w:type="dxa"/>
            <w:tcBorders>
              <w:top w:val="single" w:sz="4" w:space="0" w:color="595959"/>
              <w:left w:val="single" w:sz="4" w:space="0" w:color="595959"/>
              <w:bottom w:val="single" w:sz="4" w:space="0" w:color="595959"/>
              <w:right w:val="single" w:sz="4" w:space="0" w:color="595959"/>
            </w:tcBorders>
            <w:shd w:val="clear" w:color="auto" w:fill="FFFFFF"/>
            <w:tcMar>
              <w:top w:w="70" w:type="dxa"/>
              <w:left w:w="90" w:type="dxa"/>
              <w:bottom w:w="70" w:type="dxa"/>
              <w:right w:w="90" w:type="dxa"/>
            </w:tcMar>
          </w:tcPr>
          <w:p w14:paraId="2DBA9557" w14:textId="77777777" w:rsidR="00D12B7B" w:rsidRDefault="001B23A5">
            <w:r>
              <w:rPr>
                <w:sz w:val="15"/>
                <w:szCs w:val="15"/>
              </w:rPr>
              <w:t>Uses limited, loosely relevant or inaccurately referenced evidence</w:t>
            </w:r>
          </w:p>
        </w:tc>
        <w:tc>
          <w:tcPr>
            <w:tcW w:w="1440" w:type="dxa"/>
            <w:tcBorders>
              <w:top w:val="single" w:sz="4" w:space="0" w:color="595959"/>
              <w:left w:val="single" w:sz="4" w:space="0" w:color="595959"/>
              <w:bottom w:val="single" w:sz="4" w:space="0" w:color="595959"/>
              <w:right w:val="single" w:sz="4" w:space="0" w:color="595959"/>
            </w:tcBorders>
            <w:shd w:val="clear" w:color="auto" w:fill="FFFFFF"/>
            <w:tcMar>
              <w:top w:w="70" w:type="dxa"/>
              <w:left w:w="90" w:type="dxa"/>
              <w:bottom w:w="70" w:type="dxa"/>
              <w:right w:w="90" w:type="dxa"/>
            </w:tcMar>
          </w:tcPr>
          <w:p w14:paraId="2DBA9558" w14:textId="77777777" w:rsidR="00D12B7B" w:rsidRDefault="001B23A5">
            <w:r>
              <w:rPr>
                <w:sz w:val="15"/>
                <w:szCs w:val="15"/>
              </w:rPr>
              <w:t>Uses little or no evidence</w:t>
            </w:r>
          </w:p>
        </w:tc>
      </w:tr>
      <w:tr w:rsidR="00D12B7B" w14:paraId="2DBA9561" w14:textId="77777777">
        <w:tblPrEx>
          <w:tblCellMar>
            <w:top w:w="0" w:type="dxa"/>
            <w:bottom w:w="0" w:type="dxa"/>
          </w:tblCellMar>
        </w:tblPrEx>
        <w:trPr>
          <w:cantSplit/>
        </w:trPr>
        <w:tc>
          <w:tcPr>
            <w:tcW w:w="1826" w:type="dxa"/>
            <w:tcBorders>
              <w:top w:val="single" w:sz="4" w:space="0" w:color="595959"/>
              <w:left w:val="single" w:sz="4" w:space="0" w:color="595959"/>
              <w:bottom w:val="single" w:sz="4" w:space="0" w:color="595959"/>
              <w:right w:val="single" w:sz="4" w:space="0" w:color="595959"/>
            </w:tcBorders>
            <w:shd w:val="clear" w:color="auto" w:fill="F2F2F2"/>
            <w:tcMar>
              <w:top w:w="70" w:type="dxa"/>
              <w:left w:w="90" w:type="dxa"/>
              <w:bottom w:w="70" w:type="dxa"/>
              <w:right w:w="90" w:type="dxa"/>
            </w:tcMar>
          </w:tcPr>
          <w:p w14:paraId="2DBA955A" w14:textId="77777777" w:rsidR="00D12B7B" w:rsidRDefault="001B23A5">
            <w:r>
              <w:rPr>
                <w:b/>
                <w:bCs/>
                <w:sz w:val="15"/>
                <w:szCs w:val="15"/>
              </w:rPr>
              <w:lastRenderedPageBreak/>
              <w:t>Structure, cohesion &amp; control of language and metalanguage</w:t>
            </w:r>
          </w:p>
          <w:p w14:paraId="2DBA955B" w14:textId="77777777" w:rsidR="00D12B7B" w:rsidRDefault="001B23A5">
            <w:r>
              <w:rPr>
                <w:b/>
                <w:bCs/>
                <w:i/>
                <w:iCs/>
                <w:sz w:val="15"/>
                <w:szCs w:val="15"/>
              </w:rPr>
              <w:t>(EN5-6C)</w:t>
            </w:r>
          </w:p>
        </w:tc>
        <w:tc>
          <w:tcPr>
            <w:tcW w:w="1440" w:type="dxa"/>
            <w:tcBorders>
              <w:top w:val="single" w:sz="4" w:space="0" w:color="595959"/>
              <w:left w:val="single" w:sz="4" w:space="0" w:color="595959"/>
              <w:bottom w:val="single" w:sz="4" w:space="0" w:color="595959"/>
              <w:right w:val="single" w:sz="4" w:space="0" w:color="595959"/>
            </w:tcBorders>
            <w:shd w:val="clear" w:color="auto" w:fill="FFFFFF"/>
            <w:tcMar>
              <w:top w:w="70" w:type="dxa"/>
              <w:left w:w="90" w:type="dxa"/>
              <w:bottom w:w="70" w:type="dxa"/>
              <w:right w:w="90" w:type="dxa"/>
            </w:tcMar>
          </w:tcPr>
          <w:p w14:paraId="2DBA955C" w14:textId="77777777" w:rsidR="00D12B7B" w:rsidRDefault="001B23A5">
            <w:r>
              <w:rPr>
                <w:sz w:val="15"/>
                <w:szCs w:val="15"/>
              </w:rPr>
              <w:t>Sustains cohesive control of an analytical structure and expression; employs sophisticated, precise metalanguage</w:t>
            </w:r>
          </w:p>
        </w:tc>
        <w:tc>
          <w:tcPr>
            <w:tcW w:w="1440" w:type="dxa"/>
            <w:tcBorders>
              <w:top w:val="single" w:sz="4" w:space="0" w:color="595959"/>
              <w:left w:val="single" w:sz="4" w:space="0" w:color="595959"/>
              <w:bottom w:val="single" w:sz="4" w:space="0" w:color="595959"/>
              <w:right w:val="single" w:sz="4" w:space="0" w:color="595959"/>
            </w:tcBorders>
            <w:shd w:val="clear" w:color="auto" w:fill="FFFFFF"/>
            <w:tcMar>
              <w:top w:w="70" w:type="dxa"/>
              <w:left w:w="90" w:type="dxa"/>
              <w:bottom w:w="70" w:type="dxa"/>
              <w:right w:w="90" w:type="dxa"/>
            </w:tcMar>
          </w:tcPr>
          <w:p w14:paraId="2DBA955D" w14:textId="77777777" w:rsidR="00D12B7B" w:rsidRDefault="001B23A5">
            <w:r>
              <w:rPr>
                <w:sz w:val="15"/>
                <w:szCs w:val="15"/>
              </w:rPr>
              <w:t>Maintains a clear, controlled structure and expression with appropriate metalanguage</w:t>
            </w:r>
          </w:p>
        </w:tc>
        <w:tc>
          <w:tcPr>
            <w:tcW w:w="1440" w:type="dxa"/>
            <w:tcBorders>
              <w:top w:val="single" w:sz="4" w:space="0" w:color="595959"/>
              <w:left w:val="single" w:sz="4" w:space="0" w:color="595959"/>
              <w:bottom w:val="single" w:sz="4" w:space="0" w:color="595959"/>
              <w:right w:val="single" w:sz="4" w:space="0" w:color="595959"/>
            </w:tcBorders>
            <w:shd w:val="clear" w:color="auto" w:fill="FFFFFF"/>
            <w:tcMar>
              <w:top w:w="70" w:type="dxa"/>
              <w:left w:w="90" w:type="dxa"/>
              <w:bottom w:w="70" w:type="dxa"/>
              <w:right w:w="90" w:type="dxa"/>
            </w:tcMar>
          </w:tcPr>
          <w:p w14:paraId="2DBA955E" w14:textId="77777777" w:rsidR="00D12B7B" w:rsidRDefault="001B23A5">
            <w:r>
              <w:rPr>
                <w:sz w:val="15"/>
                <w:szCs w:val="15"/>
              </w:rPr>
              <w:t>Generally coherent structure with some lapses in control</w:t>
            </w:r>
          </w:p>
        </w:tc>
        <w:tc>
          <w:tcPr>
            <w:tcW w:w="1440" w:type="dxa"/>
            <w:tcBorders>
              <w:top w:val="single" w:sz="4" w:space="0" w:color="595959"/>
              <w:left w:val="single" w:sz="4" w:space="0" w:color="595959"/>
              <w:bottom w:val="single" w:sz="4" w:space="0" w:color="595959"/>
              <w:right w:val="single" w:sz="4" w:space="0" w:color="595959"/>
            </w:tcBorders>
            <w:shd w:val="clear" w:color="auto" w:fill="FFFFFF"/>
            <w:tcMar>
              <w:top w:w="70" w:type="dxa"/>
              <w:left w:w="90" w:type="dxa"/>
              <w:bottom w:w="70" w:type="dxa"/>
              <w:right w:w="90" w:type="dxa"/>
            </w:tcMar>
          </w:tcPr>
          <w:p w14:paraId="2DBA955F" w14:textId="77777777" w:rsidR="00D12B7B" w:rsidRDefault="001B23A5">
            <w:r>
              <w:rPr>
                <w:sz w:val="15"/>
                <w:szCs w:val="15"/>
              </w:rPr>
              <w:t>Limited structural control; simple expression</w:t>
            </w:r>
          </w:p>
        </w:tc>
        <w:tc>
          <w:tcPr>
            <w:tcW w:w="1440" w:type="dxa"/>
            <w:tcBorders>
              <w:top w:val="single" w:sz="4" w:space="0" w:color="595959"/>
              <w:left w:val="single" w:sz="4" w:space="0" w:color="595959"/>
              <w:bottom w:val="single" w:sz="4" w:space="0" w:color="595959"/>
              <w:right w:val="single" w:sz="4" w:space="0" w:color="595959"/>
            </w:tcBorders>
            <w:shd w:val="clear" w:color="auto" w:fill="FFFFFF"/>
            <w:tcMar>
              <w:top w:w="70" w:type="dxa"/>
              <w:left w:w="90" w:type="dxa"/>
              <w:bottom w:w="70" w:type="dxa"/>
              <w:right w:w="90" w:type="dxa"/>
            </w:tcMar>
          </w:tcPr>
          <w:p w14:paraId="2DBA9560" w14:textId="77777777" w:rsidR="00D12B7B" w:rsidRDefault="001B23A5">
            <w:r>
              <w:rPr>
                <w:sz w:val="15"/>
                <w:szCs w:val="15"/>
              </w:rPr>
              <w:t>Lacks a coherent structure</w:t>
            </w:r>
          </w:p>
        </w:tc>
      </w:tr>
      <w:tr w:rsidR="00D12B7B" w14:paraId="2DBA9569" w14:textId="77777777">
        <w:tblPrEx>
          <w:tblCellMar>
            <w:top w:w="0" w:type="dxa"/>
            <w:bottom w:w="0" w:type="dxa"/>
          </w:tblCellMar>
        </w:tblPrEx>
        <w:trPr>
          <w:cantSplit/>
        </w:trPr>
        <w:tc>
          <w:tcPr>
            <w:tcW w:w="1826" w:type="dxa"/>
            <w:tcBorders>
              <w:top w:val="single" w:sz="4" w:space="0" w:color="595959"/>
              <w:left w:val="single" w:sz="4" w:space="0" w:color="595959"/>
              <w:bottom w:val="single" w:sz="4" w:space="0" w:color="595959"/>
              <w:right w:val="single" w:sz="4" w:space="0" w:color="595959"/>
            </w:tcBorders>
            <w:shd w:val="clear" w:color="auto" w:fill="F2F2F2"/>
            <w:tcMar>
              <w:top w:w="70" w:type="dxa"/>
              <w:left w:w="90" w:type="dxa"/>
              <w:bottom w:w="70" w:type="dxa"/>
              <w:right w:w="90" w:type="dxa"/>
            </w:tcMar>
          </w:tcPr>
          <w:p w14:paraId="2DBA9562" w14:textId="77777777" w:rsidR="00D12B7B" w:rsidRDefault="001B23A5">
            <w:r>
              <w:rPr>
                <w:b/>
                <w:bCs/>
                <w:sz w:val="15"/>
                <w:szCs w:val="15"/>
              </w:rPr>
              <w:t>Sophistication &amp; responsiveness to the demands of the question</w:t>
            </w:r>
          </w:p>
          <w:p w14:paraId="2DBA9563" w14:textId="77777777" w:rsidR="00D12B7B" w:rsidRDefault="001B23A5">
            <w:r>
              <w:rPr>
                <w:b/>
                <w:bCs/>
                <w:i/>
                <w:iCs/>
                <w:sz w:val="15"/>
                <w:szCs w:val="15"/>
              </w:rPr>
              <w:t>(EN5-8D)</w:t>
            </w:r>
          </w:p>
        </w:tc>
        <w:tc>
          <w:tcPr>
            <w:tcW w:w="1440" w:type="dxa"/>
            <w:tcBorders>
              <w:top w:val="single" w:sz="4" w:space="0" w:color="595959"/>
              <w:left w:val="single" w:sz="4" w:space="0" w:color="595959"/>
              <w:bottom w:val="single" w:sz="4" w:space="0" w:color="595959"/>
              <w:right w:val="single" w:sz="4" w:space="0" w:color="595959"/>
            </w:tcBorders>
            <w:shd w:val="clear" w:color="auto" w:fill="FFFFFF"/>
            <w:tcMar>
              <w:top w:w="70" w:type="dxa"/>
              <w:left w:w="90" w:type="dxa"/>
              <w:bottom w:w="70" w:type="dxa"/>
              <w:right w:w="90" w:type="dxa"/>
            </w:tcMar>
          </w:tcPr>
          <w:p w14:paraId="2DBA9564" w14:textId="77777777" w:rsidR="00D12B7B" w:rsidRDefault="001B23A5">
            <w:r>
              <w:rPr>
                <w:sz w:val="15"/>
                <w:szCs w:val="15"/>
              </w:rPr>
              <w:t>Responds to the demands of the question with insight and sophistication, sustaining a discerning, independent line of argument</w:t>
            </w:r>
          </w:p>
        </w:tc>
        <w:tc>
          <w:tcPr>
            <w:tcW w:w="1440" w:type="dxa"/>
            <w:tcBorders>
              <w:top w:val="single" w:sz="4" w:space="0" w:color="595959"/>
              <w:left w:val="single" w:sz="4" w:space="0" w:color="595959"/>
              <w:bottom w:val="single" w:sz="4" w:space="0" w:color="595959"/>
              <w:right w:val="single" w:sz="4" w:space="0" w:color="595959"/>
            </w:tcBorders>
            <w:shd w:val="clear" w:color="auto" w:fill="FFFFFF"/>
            <w:tcMar>
              <w:top w:w="70" w:type="dxa"/>
              <w:left w:w="90" w:type="dxa"/>
              <w:bottom w:w="70" w:type="dxa"/>
              <w:right w:w="90" w:type="dxa"/>
            </w:tcMar>
          </w:tcPr>
          <w:p w14:paraId="2DBA9565" w14:textId="77777777" w:rsidR="00D12B7B" w:rsidRDefault="001B23A5">
            <w:r>
              <w:rPr>
                <w:sz w:val="15"/>
                <w:szCs w:val="15"/>
              </w:rPr>
              <w:t>Responds thoughtfully to the question with a clear, consistent argument</w:t>
            </w:r>
          </w:p>
        </w:tc>
        <w:tc>
          <w:tcPr>
            <w:tcW w:w="1440" w:type="dxa"/>
            <w:tcBorders>
              <w:top w:val="single" w:sz="4" w:space="0" w:color="595959"/>
              <w:left w:val="single" w:sz="4" w:space="0" w:color="595959"/>
              <w:bottom w:val="single" w:sz="4" w:space="0" w:color="595959"/>
              <w:right w:val="single" w:sz="4" w:space="0" w:color="595959"/>
            </w:tcBorders>
            <w:shd w:val="clear" w:color="auto" w:fill="FFFFFF"/>
            <w:tcMar>
              <w:top w:w="70" w:type="dxa"/>
              <w:left w:w="90" w:type="dxa"/>
              <w:bottom w:w="70" w:type="dxa"/>
              <w:right w:w="90" w:type="dxa"/>
            </w:tcMar>
          </w:tcPr>
          <w:p w14:paraId="2DBA9566" w14:textId="77777777" w:rsidR="00D12B7B" w:rsidRDefault="001B23A5">
            <w:r>
              <w:rPr>
                <w:sz w:val="15"/>
                <w:szCs w:val="15"/>
              </w:rPr>
              <w:t>Responds to the question, though the argument may be uneven</w:t>
            </w:r>
          </w:p>
        </w:tc>
        <w:tc>
          <w:tcPr>
            <w:tcW w:w="1440" w:type="dxa"/>
            <w:tcBorders>
              <w:top w:val="single" w:sz="4" w:space="0" w:color="595959"/>
              <w:left w:val="single" w:sz="4" w:space="0" w:color="595959"/>
              <w:bottom w:val="single" w:sz="4" w:space="0" w:color="595959"/>
              <w:right w:val="single" w:sz="4" w:space="0" w:color="595959"/>
            </w:tcBorders>
            <w:shd w:val="clear" w:color="auto" w:fill="FFFFFF"/>
            <w:tcMar>
              <w:top w:w="70" w:type="dxa"/>
              <w:left w:w="90" w:type="dxa"/>
              <w:bottom w:w="70" w:type="dxa"/>
              <w:right w:w="90" w:type="dxa"/>
            </w:tcMar>
          </w:tcPr>
          <w:p w14:paraId="2DBA9567" w14:textId="77777777" w:rsidR="00D12B7B" w:rsidRDefault="001B23A5">
            <w:r>
              <w:rPr>
                <w:sz w:val="15"/>
                <w:szCs w:val="15"/>
              </w:rPr>
              <w:t>Responds only partially or tangentially to the question</w:t>
            </w:r>
          </w:p>
        </w:tc>
        <w:tc>
          <w:tcPr>
            <w:tcW w:w="1440" w:type="dxa"/>
            <w:tcBorders>
              <w:top w:val="single" w:sz="4" w:space="0" w:color="595959"/>
              <w:left w:val="single" w:sz="4" w:space="0" w:color="595959"/>
              <w:bottom w:val="single" w:sz="4" w:space="0" w:color="595959"/>
              <w:right w:val="single" w:sz="4" w:space="0" w:color="595959"/>
            </w:tcBorders>
            <w:shd w:val="clear" w:color="auto" w:fill="FFFFFF"/>
            <w:tcMar>
              <w:top w:w="70" w:type="dxa"/>
              <w:left w:w="90" w:type="dxa"/>
              <w:bottom w:w="70" w:type="dxa"/>
              <w:right w:w="90" w:type="dxa"/>
            </w:tcMar>
          </w:tcPr>
          <w:p w14:paraId="2DBA9568" w14:textId="77777777" w:rsidR="00D12B7B" w:rsidRDefault="001B23A5">
            <w:r>
              <w:rPr>
                <w:sz w:val="15"/>
                <w:szCs w:val="15"/>
              </w:rPr>
              <w:t>Response is largely unrelated to the question</w:t>
            </w:r>
          </w:p>
        </w:tc>
      </w:tr>
    </w:tbl>
    <w:p w14:paraId="2DBA956A" w14:textId="77777777" w:rsidR="00D12B7B" w:rsidRDefault="001B23A5">
      <w:pPr>
        <w:spacing w:before="200" w:after="40"/>
      </w:pPr>
      <w:r>
        <w:rPr>
          <w:b/>
          <w:bCs/>
        </w:rPr>
        <w:t>Total: ____ / 20</w:t>
      </w:r>
    </w:p>
    <w:p w14:paraId="2DBA956B" w14:textId="77777777" w:rsidR="00D12B7B" w:rsidRDefault="001B23A5">
      <w:pPr>
        <w:spacing w:after="400"/>
      </w:pPr>
      <w:r>
        <w:rPr>
          <w:b/>
          <w:bCs/>
        </w:rPr>
        <w:t>Teacher comment:</w:t>
      </w:r>
    </w:p>
    <w:p w14:paraId="2DBA956C" w14:textId="77777777" w:rsidR="00D12B7B" w:rsidRDefault="001B23A5">
      <w:pPr>
        <w:spacing w:before="200" w:after="120"/>
      </w:pPr>
      <w:r>
        <w:rPr>
          <w:i/>
          <w:iCs/>
          <w:color w:val="595959"/>
          <w:sz w:val="19"/>
          <w:szCs w:val="19"/>
        </w:rPr>
        <w:t>End of assessment task.</w:t>
      </w:r>
    </w:p>
    <w:sectPr w:rsidR="00D12B7B">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F820F6"/>
    <w:multiLevelType w:val="hybridMultilevel"/>
    <w:tmpl w:val="6C28B47C"/>
    <w:lvl w:ilvl="0" w:tplc="808AB1E8">
      <w:start w:val="1"/>
      <w:numFmt w:val="bullet"/>
      <w:lvlText w:val="●"/>
      <w:lvlJc w:val="left"/>
      <w:pPr>
        <w:ind w:left="720" w:hanging="360"/>
      </w:pPr>
    </w:lvl>
    <w:lvl w:ilvl="1" w:tplc="BFEC5B02">
      <w:start w:val="1"/>
      <w:numFmt w:val="bullet"/>
      <w:lvlText w:val="○"/>
      <w:lvlJc w:val="left"/>
      <w:pPr>
        <w:ind w:left="1440" w:hanging="360"/>
      </w:pPr>
    </w:lvl>
    <w:lvl w:ilvl="2" w:tplc="D33C4890">
      <w:start w:val="1"/>
      <w:numFmt w:val="bullet"/>
      <w:lvlText w:val="■"/>
      <w:lvlJc w:val="left"/>
      <w:pPr>
        <w:ind w:left="2160" w:hanging="360"/>
      </w:pPr>
    </w:lvl>
    <w:lvl w:ilvl="3" w:tplc="2B0A6B32">
      <w:start w:val="1"/>
      <w:numFmt w:val="bullet"/>
      <w:lvlText w:val="●"/>
      <w:lvlJc w:val="left"/>
      <w:pPr>
        <w:ind w:left="2880" w:hanging="360"/>
      </w:pPr>
    </w:lvl>
    <w:lvl w:ilvl="4" w:tplc="B734CDE8">
      <w:start w:val="1"/>
      <w:numFmt w:val="bullet"/>
      <w:lvlText w:val="○"/>
      <w:lvlJc w:val="left"/>
      <w:pPr>
        <w:ind w:left="3600" w:hanging="360"/>
      </w:pPr>
    </w:lvl>
    <w:lvl w:ilvl="5" w:tplc="D862D310">
      <w:start w:val="1"/>
      <w:numFmt w:val="bullet"/>
      <w:lvlText w:val="■"/>
      <w:lvlJc w:val="left"/>
      <w:pPr>
        <w:ind w:left="4320" w:hanging="360"/>
      </w:pPr>
    </w:lvl>
    <w:lvl w:ilvl="6" w:tplc="9D7621B8">
      <w:start w:val="1"/>
      <w:numFmt w:val="bullet"/>
      <w:lvlText w:val="●"/>
      <w:lvlJc w:val="left"/>
      <w:pPr>
        <w:ind w:left="5040" w:hanging="360"/>
      </w:pPr>
    </w:lvl>
    <w:lvl w:ilvl="7" w:tplc="F8CC5B06">
      <w:start w:val="1"/>
      <w:numFmt w:val="bullet"/>
      <w:lvlText w:val="●"/>
      <w:lvlJc w:val="left"/>
      <w:pPr>
        <w:ind w:left="5760" w:hanging="360"/>
      </w:pPr>
    </w:lvl>
    <w:lvl w:ilvl="8" w:tplc="590C95BE">
      <w:start w:val="1"/>
      <w:numFmt w:val="bullet"/>
      <w:lvlText w:val="●"/>
      <w:lvlJc w:val="left"/>
      <w:pPr>
        <w:ind w:left="6480" w:hanging="360"/>
      </w:pPr>
    </w:lvl>
  </w:abstractNum>
  <w:num w:numId="1" w16cid:durableId="170749004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B7B"/>
    <w:rsid w:val="001B23A5"/>
    <w:rsid w:val="006853B8"/>
    <w:rsid w:val="00884A0B"/>
    <w:rsid w:val="00D12B7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A952B"/>
  <w15:docId w15:val="{4C99C49B-09A3-4459-8BE4-B327DBEB6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en-AU" w:eastAsia="zh-CN"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583</Words>
  <Characters>3326</Characters>
  <Application>Microsoft Office Word</Application>
  <DocSecurity>0</DocSecurity>
  <Lines>27</Lines>
  <Paragraphs>7</Paragraphs>
  <ScaleCrop>false</ScaleCrop>
  <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Katie Toomey</cp:lastModifiedBy>
  <cp:revision>2</cp:revision>
  <dcterms:created xsi:type="dcterms:W3CDTF">2026-08-17T23:44:00Z</dcterms:created>
  <dcterms:modified xsi:type="dcterms:W3CDTF">2026-08-17T23:44:00Z</dcterms:modified>
</cp:coreProperties>
</file>